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A512A5" w14:textId="77777777" w:rsidR="00B71DC0" w:rsidRDefault="00B71DC0"/>
    <w:p w14:paraId="3BC91EC1" w14:textId="77777777" w:rsidR="00B71DC0" w:rsidRDefault="00B71DC0" w:rsidP="00B71DC0">
      <w:r w:rsidRPr="00B71DC0">
        <w:rPr>
          <w:noProof/>
        </w:rPr>
        <w:drawing>
          <wp:inline distT="0" distB="0" distL="0" distR="0" wp14:anchorId="7B84F77B" wp14:editId="37172325">
            <wp:extent cx="5943600" cy="3344146"/>
            <wp:effectExtent l="0" t="0" r="0" b="8890"/>
            <wp:docPr id="3" name="Picture 3" descr="C:\Users\pc\Desktop\Biomed\Biomed Staging vascular A 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Biomed\Biomed Staging vascular A B.t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4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DB1A6" w14:textId="0177B50E" w:rsidR="0091550B" w:rsidRPr="002A7916" w:rsidRDefault="00B71DC0" w:rsidP="007A3CC0">
      <w:r w:rsidRPr="00B71DC0">
        <w:rPr>
          <w:noProof/>
        </w:rPr>
        <w:drawing>
          <wp:inline distT="0" distB="0" distL="0" distR="0" wp14:anchorId="0DAC06DB" wp14:editId="1B8FACD1">
            <wp:extent cx="5943600" cy="3344146"/>
            <wp:effectExtent l="0" t="0" r="0" b="8890"/>
            <wp:docPr id="2" name="Picture 2" descr="C:\Users\pc\Desktop\Biomed\Biomed Staging vascular C D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Biomed\Biomed Staging vascular C D.t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4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916">
        <w:rPr>
          <w:rFonts w:ascii="Palatino Linotype" w:hAnsi="Palatino Linotype"/>
          <w:b/>
          <w:bCs/>
          <w:kern w:val="24"/>
          <w:sz w:val="18"/>
          <w:szCs w:val="18"/>
        </w:rPr>
        <w:t xml:space="preserve">Supplementary Figure S3: </w:t>
      </w:r>
      <w:r w:rsidRPr="002A7916">
        <w:rPr>
          <w:rFonts w:ascii="Palatino Linotype" w:hAnsi="Palatino Linotype"/>
          <w:b/>
          <w:bCs/>
          <w:kern w:val="24"/>
          <w:sz w:val="18"/>
          <w:szCs w:val="18"/>
        </w:rPr>
        <w:t xml:space="preserve"> </w:t>
      </w:r>
      <w:r w:rsidRPr="002A7916">
        <w:rPr>
          <w:rFonts w:ascii="Palatino Linotype" w:hAnsi="Palatino Linotype"/>
          <w:b/>
          <w:bCs/>
          <w:sz w:val="18"/>
          <w:szCs w:val="18"/>
        </w:rPr>
        <w:t>Staging of RP; Retinal vessel attenuation and centripetal occlusion</w:t>
      </w:r>
      <w:r w:rsidR="006E0392" w:rsidRPr="002A7916">
        <w:rPr>
          <w:rFonts w:ascii="Palatino Linotype" w:hAnsi="Palatino Linotype"/>
          <w:b/>
          <w:bCs/>
          <w:sz w:val="18"/>
          <w:szCs w:val="18"/>
        </w:rPr>
        <w:t>:</w:t>
      </w:r>
      <w:r w:rsidR="006E0392" w:rsidRPr="002A7916">
        <w:rPr>
          <w:rFonts w:ascii="Palatino Linotype" w:hAnsi="Palatino Linotype"/>
          <w:b/>
          <w:bCs/>
          <w:kern w:val="24"/>
          <w:sz w:val="18"/>
          <w:szCs w:val="18"/>
        </w:rPr>
        <w:t xml:space="preserve"> </w:t>
      </w:r>
      <w:r w:rsidR="009E0471" w:rsidRPr="002A7916">
        <w:rPr>
          <w:rFonts w:ascii="Palatino Linotype" w:hAnsi="Palatino Linotype"/>
          <w:sz w:val="18"/>
          <w:szCs w:val="18"/>
        </w:rPr>
        <w:t>Six-stage system, encompasses preclinical; Stage 0 and Stage I (not shown in the diagram; the retina looks normal) and clinical stages (Stage II to Stage V).</w:t>
      </w:r>
      <w:r w:rsidR="009E0471" w:rsidRPr="002A7916">
        <w:rPr>
          <w:rFonts w:ascii="Palatino Linotype" w:hAnsi="Palatino Linotype"/>
        </w:rPr>
        <w:t xml:space="preserve"> </w:t>
      </w:r>
      <w:r w:rsidRPr="002A7916">
        <w:rPr>
          <w:rFonts w:ascii="Palatino Linotype" w:eastAsiaTheme="minorEastAsia" w:hAnsi="Palatino Linotype"/>
          <w:kern w:val="24"/>
          <w:sz w:val="18"/>
          <w:szCs w:val="18"/>
        </w:rPr>
        <w:t>Diagram of right eye (RE) and left eye (LE) showing zones, borders</w:t>
      </w:r>
      <w:r w:rsidR="00E35FBF">
        <w:rPr>
          <w:rFonts w:ascii="Palatino Linotype" w:eastAsiaTheme="minorEastAsia" w:hAnsi="Palatino Linotype"/>
          <w:kern w:val="24"/>
          <w:sz w:val="18"/>
          <w:szCs w:val="18"/>
        </w:rPr>
        <w:t>,</w:t>
      </w:r>
      <w:r w:rsidRPr="002A7916">
        <w:rPr>
          <w:rFonts w:ascii="Palatino Linotype" w:eastAsiaTheme="minorEastAsia" w:hAnsi="Palatino Linotype"/>
          <w:kern w:val="24"/>
          <w:sz w:val="18"/>
          <w:szCs w:val="18"/>
        </w:rPr>
        <w:t xml:space="preserve"> and anatomical landmarks</w:t>
      </w:r>
      <w:r w:rsidRPr="002A7916">
        <w:rPr>
          <w:rFonts w:ascii="Palatino Linotype" w:eastAsiaTheme="minorEastAsia" w:hAnsi="Palatino Linotype"/>
          <w:strike/>
          <w:kern w:val="24"/>
          <w:sz w:val="18"/>
          <w:szCs w:val="18"/>
        </w:rPr>
        <w:t xml:space="preserve"> </w:t>
      </w:r>
      <w:r w:rsidRPr="002A7916">
        <w:rPr>
          <w:rFonts w:ascii="Palatino Linotype" w:eastAsiaTheme="minorEastAsia" w:hAnsi="Palatino Linotype"/>
          <w:kern w:val="24"/>
          <w:sz w:val="18"/>
          <w:szCs w:val="18"/>
        </w:rPr>
        <w:t xml:space="preserve">used to describe the clinical stages of RP (Stage II-V) depending on the degree of vascular extension in relation to different zones and the magnitude of attenuation </w:t>
      </w:r>
      <w:r w:rsidR="00FB7286" w:rsidRPr="002A7916">
        <w:rPr>
          <w:rFonts w:ascii="Palatino Linotype" w:eastAsiaTheme="minorEastAsia" w:hAnsi="Palatino Linotype"/>
          <w:kern w:val="24"/>
          <w:sz w:val="18"/>
          <w:szCs w:val="18"/>
        </w:rPr>
        <w:t xml:space="preserve">retinal </w:t>
      </w:r>
      <w:r w:rsidRPr="002A7916">
        <w:rPr>
          <w:rFonts w:ascii="Palatino Linotype" w:eastAsiaTheme="minorEastAsia" w:hAnsi="Palatino Linotype"/>
          <w:kern w:val="24"/>
          <w:sz w:val="18"/>
          <w:szCs w:val="18"/>
        </w:rPr>
        <w:t xml:space="preserve">vessels. Solid circles represent </w:t>
      </w:r>
      <w:r w:rsidR="00E35FBF">
        <w:rPr>
          <w:rFonts w:ascii="Palatino Linotype" w:eastAsiaTheme="minorEastAsia" w:hAnsi="Palatino Linotype"/>
          <w:kern w:val="24"/>
          <w:sz w:val="18"/>
          <w:szCs w:val="18"/>
        </w:rPr>
        <w:t xml:space="preserve">the </w:t>
      </w:r>
      <w:r w:rsidRPr="002A7916">
        <w:rPr>
          <w:rFonts w:ascii="Palatino Linotype" w:eastAsiaTheme="minorEastAsia" w:hAnsi="Palatino Linotype"/>
          <w:kern w:val="24"/>
          <w:sz w:val="18"/>
          <w:szCs w:val="18"/>
        </w:rPr>
        <w:t>borders of zones I</w:t>
      </w:r>
      <w:r w:rsidR="00FB7286" w:rsidRPr="002A7916">
        <w:rPr>
          <w:rFonts w:ascii="Palatino Linotype" w:eastAsiaTheme="minorEastAsia" w:hAnsi="Palatino Linotype"/>
          <w:kern w:val="24"/>
          <w:sz w:val="18"/>
          <w:szCs w:val="18"/>
        </w:rPr>
        <w:t>, II, III</w:t>
      </w:r>
      <w:r w:rsidR="00E35FBF">
        <w:rPr>
          <w:rFonts w:ascii="Palatino Linotype" w:eastAsiaTheme="minorEastAsia" w:hAnsi="Palatino Linotype"/>
          <w:kern w:val="24"/>
          <w:sz w:val="18"/>
          <w:szCs w:val="18"/>
        </w:rPr>
        <w:t>,</w:t>
      </w:r>
      <w:r w:rsidR="00FB7286" w:rsidRPr="002A7916">
        <w:rPr>
          <w:rFonts w:ascii="Palatino Linotype" w:eastAsiaTheme="minorEastAsia" w:hAnsi="Palatino Linotype"/>
          <w:kern w:val="24"/>
          <w:sz w:val="18"/>
          <w:szCs w:val="18"/>
        </w:rPr>
        <w:t xml:space="preserve"> a</w:t>
      </w:r>
      <w:r w:rsidRPr="002A7916">
        <w:rPr>
          <w:rFonts w:ascii="Palatino Linotype" w:eastAsiaTheme="minorEastAsia" w:hAnsi="Palatino Linotype"/>
          <w:kern w:val="24"/>
          <w:sz w:val="18"/>
          <w:szCs w:val="18"/>
        </w:rPr>
        <w:t xml:space="preserve">nd IV. </w:t>
      </w:r>
      <w:r w:rsidR="00E35FBF">
        <w:rPr>
          <w:rFonts w:ascii="Palatino Linotype" w:hAnsi="Palatino Linotype"/>
          <w:sz w:val="18"/>
          <w:szCs w:val="18"/>
        </w:rPr>
        <w:t>T</w:t>
      </w:r>
      <w:bookmarkStart w:id="0" w:name="_GoBack"/>
      <w:bookmarkEnd w:id="0"/>
      <w:r w:rsidR="00E35FBF">
        <w:rPr>
          <w:rFonts w:ascii="Palatino Linotype" w:hAnsi="Palatino Linotype"/>
          <w:sz w:val="18"/>
          <w:szCs w:val="18"/>
        </w:rPr>
        <w:t>he vascular</w:t>
      </w:r>
      <w:r w:rsidRPr="002A7916">
        <w:rPr>
          <w:rFonts w:ascii="Palatino Linotype" w:hAnsi="Palatino Linotype"/>
          <w:sz w:val="18"/>
          <w:szCs w:val="18"/>
        </w:rPr>
        <w:t xml:space="preserve"> arcade is an important landmark that </w:t>
      </w:r>
      <w:r w:rsidR="00E35FBF">
        <w:rPr>
          <w:rFonts w:ascii="Palatino Linotype" w:hAnsi="Palatino Linotype"/>
          <w:sz w:val="18"/>
          <w:szCs w:val="18"/>
        </w:rPr>
        <w:t>constitutes</w:t>
      </w:r>
      <w:r w:rsidRPr="002A7916">
        <w:rPr>
          <w:rFonts w:ascii="Palatino Linotype" w:hAnsi="Palatino Linotype"/>
          <w:sz w:val="18"/>
          <w:szCs w:val="18"/>
        </w:rPr>
        <w:t xml:space="preserve"> the circle between zone II and</w:t>
      </w:r>
      <w:r w:rsidR="00FB7286" w:rsidRPr="002A7916">
        <w:rPr>
          <w:rFonts w:ascii="Palatino Linotype" w:hAnsi="Palatino Linotype"/>
          <w:sz w:val="18"/>
          <w:szCs w:val="18"/>
        </w:rPr>
        <w:t xml:space="preserve"> zone III. </w:t>
      </w:r>
      <w:r w:rsidRPr="002A7916">
        <w:rPr>
          <w:rFonts w:ascii="Palatino Linotype" w:hAnsi="Palatino Linotype"/>
          <w:sz w:val="18"/>
          <w:szCs w:val="18"/>
        </w:rPr>
        <w:t xml:space="preserve"> </w:t>
      </w:r>
      <w:r w:rsidRPr="002A7916">
        <w:rPr>
          <w:rFonts w:ascii="Palatino Linotype" w:hAnsi="Palatino Linotype"/>
          <w:b/>
          <w:bCs/>
          <w:kern w:val="24"/>
          <w:sz w:val="18"/>
          <w:szCs w:val="18"/>
        </w:rPr>
        <w:t>Zone I</w:t>
      </w:r>
      <w:r w:rsidR="002A7916">
        <w:rPr>
          <w:rFonts w:ascii="Palatino Linotype" w:hAnsi="Palatino Linotype"/>
          <w:kern w:val="24"/>
          <w:sz w:val="18"/>
          <w:szCs w:val="18"/>
        </w:rPr>
        <w:t xml:space="preserve">; </w:t>
      </w:r>
      <w:r w:rsidRPr="002A7916">
        <w:rPr>
          <w:rFonts w:ascii="Palatino Linotype" w:hAnsi="Palatino Linotype"/>
          <w:kern w:val="24"/>
          <w:sz w:val="18"/>
          <w:szCs w:val="18"/>
        </w:rPr>
        <w:lastRenderedPageBreak/>
        <w:t xml:space="preserve">A circle </w:t>
      </w:r>
      <w:r w:rsidR="00FB7286" w:rsidRPr="002A7916">
        <w:rPr>
          <w:rFonts w:ascii="Palatino Linotype" w:hAnsi="Palatino Linotype"/>
          <w:kern w:val="24"/>
          <w:sz w:val="18"/>
          <w:szCs w:val="18"/>
        </w:rPr>
        <w:t xml:space="preserve">the </w:t>
      </w:r>
      <w:r w:rsidRPr="002A7916">
        <w:rPr>
          <w:rFonts w:ascii="Palatino Linotype" w:hAnsi="Palatino Linotype"/>
          <w:kern w:val="24"/>
          <w:sz w:val="18"/>
          <w:szCs w:val="18"/>
        </w:rPr>
        <w:t>center of</w:t>
      </w:r>
      <w:r w:rsidR="00FB7286" w:rsidRPr="002A7916">
        <w:rPr>
          <w:rFonts w:ascii="Palatino Linotype" w:hAnsi="Palatino Linotype"/>
          <w:kern w:val="24"/>
          <w:sz w:val="18"/>
          <w:szCs w:val="18"/>
        </w:rPr>
        <w:t xml:space="preserve"> which </w:t>
      </w:r>
      <w:r w:rsidRPr="002A7916">
        <w:rPr>
          <w:rFonts w:ascii="Palatino Linotype" w:hAnsi="Palatino Linotype"/>
          <w:kern w:val="24"/>
          <w:sz w:val="18"/>
          <w:szCs w:val="18"/>
        </w:rPr>
        <w:t xml:space="preserve">is the optic disc and the radius of which </w:t>
      </w:r>
      <w:r w:rsidR="00E35FBF">
        <w:rPr>
          <w:rFonts w:ascii="Palatino Linotype" w:hAnsi="Palatino Linotype"/>
          <w:kern w:val="24"/>
          <w:sz w:val="18"/>
          <w:szCs w:val="18"/>
        </w:rPr>
        <w:t>extends</w:t>
      </w:r>
      <w:r w:rsidR="009E0471" w:rsidRPr="002A7916">
        <w:rPr>
          <w:rFonts w:ascii="Palatino Linotype" w:hAnsi="Palatino Linotype"/>
          <w:kern w:val="24"/>
          <w:sz w:val="18"/>
          <w:szCs w:val="18"/>
        </w:rPr>
        <w:t xml:space="preserve"> </w:t>
      </w:r>
      <w:r w:rsidR="002A7916" w:rsidRPr="002A7916">
        <w:rPr>
          <w:rFonts w:ascii="Palatino Linotype" w:hAnsi="Palatino Linotype"/>
          <w:kern w:val="24"/>
          <w:sz w:val="18"/>
          <w:szCs w:val="18"/>
        </w:rPr>
        <w:t>4-disc</w:t>
      </w:r>
      <w:r w:rsidR="009E0471" w:rsidRPr="002A7916">
        <w:rPr>
          <w:rFonts w:ascii="Palatino Linotype" w:hAnsi="Palatino Linotype"/>
          <w:kern w:val="24"/>
          <w:sz w:val="18"/>
          <w:szCs w:val="18"/>
        </w:rPr>
        <w:t xml:space="preserve"> diameter</w:t>
      </w:r>
      <w:r w:rsidRPr="002A7916">
        <w:rPr>
          <w:rFonts w:ascii="Palatino Linotype" w:hAnsi="Palatino Linotype"/>
          <w:kern w:val="24"/>
          <w:sz w:val="18"/>
          <w:szCs w:val="18"/>
        </w:rPr>
        <w:t xml:space="preserve"> from </w:t>
      </w:r>
      <w:r w:rsidR="00E35FBF">
        <w:rPr>
          <w:rFonts w:ascii="Palatino Linotype" w:hAnsi="Palatino Linotype"/>
          <w:kern w:val="24"/>
          <w:sz w:val="18"/>
          <w:szCs w:val="18"/>
        </w:rPr>
        <w:t xml:space="preserve">the </w:t>
      </w:r>
      <w:r w:rsidR="009E0471" w:rsidRPr="002A7916">
        <w:rPr>
          <w:rFonts w:ascii="Palatino Linotype" w:hAnsi="Palatino Linotype"/>
          <w:kern w:val="24"/>
          <w:sz w:val="18"/>
          <w:szCs w:val="18"/>
        </w:rPr>
        <w:t>optic disc</w:t>
      </w:r>
      <w:r w:rsidRPr="002A7916">
        <w:rPr>
          <w:rFonts w:ascii="Palatino Linotype" w:hAnsi="Palatino Linotype"/>
          <w:kern w:val="24"/>
          <w:sz w:val="18"/>
          <w:szCs w:val="18"/>
        </w:rPr>
        <w:t xml:space="preserve">.  </w:t>
      </w:r>
      <w:r w:rsidRPr="002A7916">
        <w:rPr>
          <w:rFonts w:ascii="Palatino Linotype" w:hAnsi="Palatino Linotype"/>
          <w:b/>
          <w:bCs/>
          <w:kern w:val="24"/>
          <w:sz w:val="18"/>
          <w:szCs w:val="18"/>
        </w:rPr>
        <w:t>Zone II</w:t>
      </w:r>
      <w:r w:rsidR="002A7916">
        <w:rPr>
          <w:rFonts w:ascii="Palatino Linotype" w:hAnsi="Palatino Linotype"/>
          <w:kern w:val="24"/>
          <w:sz w:val="18"/>
          <w:szCs w:val="18"/>
        </w:rPr>
        <w:t>;</w:t>
      </w:r>
      <w:r w:rsidRPr="002A7916">
        <w:rPr>
          <w:rFonts w:ascii="Palatino Linotype" w:hAnsi="Palatino Linotype"/>
          <w:kern w:val="24"/>
          <w:sz w:val="18"/>
          <w:szCs w:val="18"/>
        </w:rPr>
        <w:t xml:space="preserve"> </w:t>
      </w:r>
      <w:r w:rsidR="00E35FBF">
        <w:rPr>
          <w:rFonts w:ascii="Palatino Linotype" w:hAnsi="Palatino Linotype"/>
          <w:kern w:val="24"/>
          <w:sz w:val="18"/>
          <w:szCs w:val="18"/>
        </w:rPr>
        <w:t>extends</w:t>
      </w:r>
      <w:r w:rsidRPr="002A7916">
        <w:rPr>
          <w:rFonts w:ascii="Palatino Linotype" w:hAnsi="Palatino Linotype"/>
          <w:kern w:val="24"/>
          <w:sz w:val="18"/>
          <w:szCs w:val="18"/>
        </w:rPr>
        <w:t xml:space="preserve"> from </w:t>
      </w:r>
      <w:r w:rsidR="00E35FBF">
        <w:rPr>
          <w:rFonts w:ascii="Palatino Linotype" w:hAnsi="Palatino Linotype"/>
          <w:kern w:val="24"/>
          <w:sz w:val="18"/>
          <w:szCs w:val="18"/>
        </w:rPr>
        <w:t xml:space="preserve">the </w:t>
      </w:r>
      <w:r w:rsidRPr="002A7916">
        <w:rPr>
          <w:rFonts w:ascii="Palatino Linotype" w:hAnsi="Palatino Linotype"/>
          <w:kern w:val="24"/>
          <w:sz w:val="18"/>
          <w:szCs w:val="18"/>
        </w:rPr>
        <w:t xml:space="preserve">outer circle of zone I to </w:t>
      </w:r>
      <w:r w:rsidR="00E35FBF">
        <w:rPr>
          <w:rFonts w:ascii="Palatino Linotype" w:hAnsi="Palatino Linotype"/>
          <w:kern w:val="24"/>
          <w:sz w:val="18"/>
          <w:szCs w:val="18"/>
        </w:rPr>
        <w:t xml:space="preserve">a </w:t>
      </w:r>
      <w:r w:rsidRPr="002A7916">
        <w:rPr>
          <w:rFonts w:ascii="Palatino Linotype" w:hAnsi="Palatino Linotype"/>
          <w:kern w:val="24"/>
          <w:sz w:val="18"/>
          <w:szCs w:val="18"/>
        </w:rPr>
        <w:t xml:space="preserve">circle that </w:t>
      </w:r>
      <w:r w:rsidR="00E35FBF">
        <w:rPr>
          <w:rFonts w:ascii="Palatino Linotype" w:hAnsi="Palatino Linotype"/>
          <w:kern w:val="24"/>
          <w:sz w:val="18"/>
          <w:szCs w:val="18"/>
        </w:rPr>
        <w:t>incorporates</w:t>
      </w:r>
      <w:r w:rsidRPr="002A7916">
        <w:rPr>
          <w:rFonts w:ascii="Palatino Linotype" w:hAnsi="Palatino Linotype"/>
          <w:kern w:val="24"/>
          <w:sz w:val="18"/>
          <w:szCs w:val="18"/>
        </w:rPr>
        <w:t xml:space="preserve"> the vascular arcade temporally and equivalent area of the nasal retina</w:t>
      </w:r>
      <w:r w:rsidR="00FB7286" w:rsidRPr="002A7916">
        <w:rPr>
          <w:rFonts w:ascii="Palatino Linotype" w:hAnsi="Palatino Linotype"/>
          <w:kern w:val="24"/>
          <w:sz w:val="18"/>
          <w:szCs w:val="18"/>
        </w:rPr>
        <w:t xml:space="preserve">. </w:t>
      </w:r>
      <w:r w:rsidRPr="002A7916">
        <w:rPr>
          <w:rFonts w:ascii="Palatino Linotype" w:hAnsi="Palatino Linotype"/>
          <w:kern w:val="24"/>
          <w:sz w:val="18"/>
          <w:szCs w:val="18"/>
        </w:rPr>
        <w:t xml:space="preserve"> </w:t>
      </w:r>
      <w:r w:rsidR="002A7916" w:rsidRPr="002A7916">
        <w:rPr>
          <w:rFonts w:ascii="Palatino Linotype" w:hAnsi="Palatino Linotype"/>
          <w:b/>
          <w:bCs/>
          <w:color w:val="333333"/>
          <w:kern w:val="24"/>
          <w:sz w:val="18"/>
          <w:szCs w:val="18"/>
        </w:rPr>
        <w:t>Zone III</w:t>
      </w:r>
      <w:r w:rsidR="00E53C5B">
        <w:rPr>
          <w:rFonts w:ascii="Palatino Linotype" w:hAnsi="Palatino Linotype"/>
          <w:color w:val="333333"/>
          <w:kern w:val="24"/>
          <w:sz w:val="18"/>
          <w:szCs w:val="18"/>
        </w:rPr>
        <w:t>;</w:t>
      </w:r>
      <w:r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 </w:t>
      </w:r>
      <w:r w:rsidR="00E35FBF">
        <w:rPr>
          <w:rFonts w:ascii="Palatino Linotype" w:hAnsi="Palatino Linotype"/>
          <w:color w:val="333333"/>
          <w:kern w:val="24"/>
          <w:sz w:val="18"/>
          <w:szCs w:val="18"/>
        </w:rPr>
        <w:t>extends</w:t>
      </w:r>
      <w:r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 from the outer circle of zone II to ora serrata nasally and equivalent area near the temporal equator. </w:t>
      </w:r>
      <w:r w:rsidRPr="002A7916">
        <w:rPr>
          <w:rFonts w:ascii="Palatino Linotype" w:hAnsi="Palatino Linotype"/>
          <w:b/>
          <w:bCs/>
          <w:color w:val="333333"/>
          <w:kern w:val="24"/>
          <w:sz w:val="18"/>
          <w:szCs w:val="18"/>
        </w:rPr>
        <w:t>Zone IV</w:t>
      </w:r>
      <w:r w:rsidR="00E53C5B">
        <w:rPr>
          <w:rFonts w:ascii="Palatino Linotype" w:hAnsi="Palatino Linotype"/>
          <w:color w:val="333333"/>
          <w:kern w:val="24"/>
          <w:sz w:val="18"/>
          <w:szCs w:val="18"/>
        </w:rPr>
        <w:t>;</w:t>
      </w:r>
      <w:r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 the crescent anterior to zone III</w:t>
      </w:r>
      <w:r w:rsidR="006E0392"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. Each stage is defined according to </w:t>
      </w:r>
      <w:r w:rsidR="00E35FBF">
        <w:rPr>
          <w:rFonts w:ascii="Palatino Linotype" w:hAnsi="Palatino Linotype"/>
          <w:color w:val="333333"/>
          <w:kern w:val="24"/>
          <w:sz w:val="18"/>
          <w:szCs w:val="18"/>
        </w:rPr>
        <w:t xml:space="preserve">the </w:t>
      </w:r>
      <w:r w:rsidR="006E0392" w:rsidRPr="002A7916">
        <w:rPr>
          <w:rFonts w:ascii="Palatino Linotype" w:hAnsi="Palatino Linotype"/>
          <w:color w:val="333333"/>
          <w:kern w:val="24"/>
          <w:sz w:val="18"/>
          <w:szCs w:val="18"/>
        </w:rPr>
        <w:t>extension of retinal vessels in relation to zones and borders as shown in the figure</w:t>
      </w:r>
      <w:r w:rsidR="002A7916"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.  </w:t>
      </w:r>
      <w:r w:rsidR="002A7916" w:rsidRPr="002A7916">
        <w:rPr>
          <w:rFonts w:ascii="Palatino Linotype" w:hAnsi="Palatino Linotype"/>
          <w:b/>
          <w:bCs/>
          <w:color w:val="333333"/>
          <w:kern w:val="24"/>
          <w:sz w:val="18"/>
          <w:szCs w:val="18"/>
        </w:rPr>
        <w:t>Stage 0</w:t>
      </w:r>
      <w:r w:rsidR="002A7916"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 and </w:t>
      </w:r>
      <w:r w:rsidR="002A7916" w:rsidRPr="002A7916">
        <w:rPr>
          <w:rFonts w:ascii="Palatino Linotype" w:hAnsi="Palatino Linotype"/>
          <w:b/>
          <w:bCs/>
          <w:color w:val="333333"/>
          <w:kern w:val="24"/>
          <w:sz w:val="18"/>
          <w:szCs w:val="18"/>
        </w:rPr>
        <w:t xml:space="preserve">stage </w:t>
      </w:r>
      <w:r w:rsidR="00E53C5B">
        <w:rPr>
          <w:rFonts w:ascii="Palatino Linotype" w:hAnsi="Palatino Linotype"/>
          <w:b/>
          <w:bCs/>
          <w:color w:val="333333"/>
          <w:kern w:val="24"/>
          <w:sz w:val="18"/>
          <w:szCs w:val="18"/>
        </w:rPr>
        <w:t>I</w:t>
      </w:r>
      <w:r w:rsidR="002A7916"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; showed normal vascular phenotype (not shown in </w:t>
      </w:r>
      <w:r w:rsidR="00E35FBF">
        <w:rPr>
          <w:rFonts w:ascii="Palatino Linotype" w:hAnsi="Palatino Linotype"/>
          <w:color w:val="333333"/>
          <w:kern w:val="24"/>
          <w:sz w:val="18"/>
          <w:szCs w:val="18"/>
        </w:rPr>
        <w:t xml:space="preserve">the </w:t>
      </w:r>
      <w:r w:rsidR="002A7916"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diagram) </w:t>
      </w:r>
      <w:r w:rsidR="002A7916" w:rsidRPr="00E53C5B">
        <w:rPr>
          <w:rFonts w:ascii="Palatino Linotype" w:hAnsi="Palatino Linotype"/>
          <w:b/>
          <w:bCs/>
          <w:color w:val="333333"/>
          <w:kern w:val="24"/>
          <w:sz w:val="18"/>
          <w:szCs w:val="18"/>
        </w:rPr>
        <w:t>Stage</w:t>
      </w:r>
      <w:r w:rsidR="0091550B" w:rsidRPr="002A7916">
        <w:rPr>
          <w:rFonts w:ascii="Palatino Linotype" w:hAnsi="Palatino Linotype"/>
          <w:b/>
          <w:bCs/>
          <w:color w:val="333333"/>
          <w:kern w:val="24"/>
          <w:sz w:val="18"/>
          <w:szCs w:val="18"/>
        </w:rPr>
        <w:t xml:space="preserve"> II</w:t>
      </w:r>
      <w:r w:rsidR="0091550B"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; blood vessels </w:t>
      </w:r>
      <w:r w:rsidR="00E35FBF">
        <w:rPr>
          <w:rFonts w:ascii="Palatino Linotype" w:hAnsi="Palatino Linotype"/>
          <w:color w:val="333333"/>
          <w:kern w:val="24"/>
          <w:sz w:val="18"/>
          <w:szCs w:val="18"/>
        </w:rPr>
        <w:t>extended</w:t>
      </w:r>
      <w:r w:rsidR="0091550B"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 in all zones but did not reach the ora serrata temporally</w:t>
      </w:r>
      <w:r w:rsidR="002A7916"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. </w:t>
      </w:r>
      <w:r w:rsidR="002A7916" w:rsidRPr="002A7916">
        <w:rPr>
          <w:rFonts w:ascii="Palatino Linotype" w:hAnsi="Palatino Linotype"/>
          <w:b/>
          <w:bCs/>
          <w:color w:val="333333"/>
          <w:kern w:val="24"/>
          <w:sz w:val="18"/>
          <w:szCs w:val="18"/>
        </w:rPr>
        <w:t>Stage III</w:t>
      </w:r>
      <w:r w:rsidR="002A7916"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; blood </w:t>
      </w:r>
      <w:r w:rsidR="00E35FBF">
        <w:rPr>
          <w:rFonts w:ascii="Palatino Linotype" w:hAnsi="Palatino Linotype"/>
          <w:color w:val="333333"/>
          <w:kern w:val="24"/>
          <w:sz w:val="18"/>
          <w:szCs w:val="18"/>
        </w:rPr>
        <w:t>vessel</w:t>
      </w:r>
      <w:r w:rsidR="002A7916"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 extension is limited to </w:t>
      </w:r>
      <w:r w:rsidR="00E35FBF">
        <w:rPr>
          <w:rFonts w:ascii="Palatino Linotype" w:hAnsi="Palatino Linotype"/>
          <w:color w:val="333333"/>
          <w:kern w:val="24"/>
          <w:sz w:val="18"/>
          <w:szCs w:val="18"/>
        </w:rPr>
        <w:t>Zone</w:t>
      </w:r>
      <w:r w:rsidR="002A7916"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 I zone II, and </w:t>
      </w:r>
      <w:r w:rsidR="00E35FBF">
        <w:rPr>
          <w:rFonts w:ascii="Palatino Linotype" w:hAnsi="Palatino Linotype"/>
          <w:color w:val="333333"/>
          <w:kern w:val="24"/>
          <w:sz w:val="18"/>
          <w:szCs w:val="18"/>
        </w:rPr>
        <w:t>Zone</w:t>
      </w:r>
      <w:r w:rsidR="002A7916"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 III. </w:t>
      </w:r>
      <w:r w:rsidR="0091550B"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 </w:t>
      </w:r>
      <w:r w:rsidR="002A7916" w:rsidRPr="002A7916">
        <w:rPr>
          <w:rFonts w:ascii="Palatino Linotype" w:hAnsi="Palatino Linotype"/>
          <w:b/>
          <w:bCs/>
          <w:color w:val="333333"/>
          <w:kern w:val="24"/>
          <w:sz w:val="18"/>
          <w:szCs w:val="18"/>
        </w:rPr>
        <w:t>Stage IV</w:t>
      </w:r>
      <w:r w:rsidR="00E53C5B">
        <w:rPr>
          <w:rFonts w:ascii="Palatino Linotype" w:hAnsi="Palatino Linotype"/>
          <w:color w:val="333333"/>
          <w:kern w:val="24"/>
          <w:sz w:val="18"/>
          <w:szCs w:val="18"/>
        </w:rPr>
        <w:t xml:space="preserve">; </w:t>
      </w:r>
      <w:r w:rsidR="002A7916"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blood </w:t>
      </w:r>
      <w:r w:rsidR="00E35FBF">
        <w:rPr>
          <w:rFonts w:ascii="Palatino Linotype" w:hAnsi="Palatino Linotype"/>
          <w:color w:val="333333"/>
          <w:kern w:val="24"/>
          <w:sz w:val="18"/>
          <w:szCs w:val="18"/>
        </w:rPr>
        <w:t>vessel</w:t>
      </w:r>
      <w:r w:rsidR="002A7916"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 extension is limited to zone I and zone II and </w:t>
      </w:r>
      <w:r w:rsidR="00E35FBF">
        <w:rPr>
          <w:rFonts w:ascii="Palatino Linotype" w:hAnsi="Palatino Linotype"/>
          <w:color w:val="333333"/>
          <w:kern w:val="24"/>
          <w:sz w:val="18"/>
          <w:szCs w:val="18"/>
        </w:rPr>
        <w:t>forms</w:t>
      </w:r>
      <w:r w:rsidR="002A7916" w:rsidRP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 </w:t>
      </w:r>
      <w:r w:rsidR="00E35FBF">
        <w:rPr>
          <w:rFonts w:ascii="Palatino Linotype" w:hAnsi="Palatino Linotype"/>
          <w:color w:val="333333"/>
          <w:kern w:val="24"/>
          <w:sz w:val="18"/>
          <w:szCs w:val="18"/>
        </w:rPr>
        <w:t xml:space="preserve">a </w:t>
      </w:r>
      <w:r w:rsidR="002A7916" w:rsidRPr="002A7916">
        <w:rPr>
          <w:rFonts w:ascii="Palatino Linotype" w:hAnsi="Palatino Linotype"/>
          <w:color w:val="333333"/>
          <w:kern w:val="24"/>
          <w:sz w:val="18"/>
          <w:szCs w:val="18"/>
        </w:rPr>
        <w:t>complete vascular arcade.</w:t>
      </w:r>
      <w:r w:rsidR="002A7916" w:rsidRPr="002A7916">
        <w:rPr>
          <w:rFonts w:ascii="Palatino Linotype" w:hAnsi="Palatino Linotype"/>
          <w:b/>
          <w:bCs/>
          <w:color w:val="333333"/>
          <w:kern w:val="24"/>
          <w:sz w:val="18"/>
          <w:szCs w:val="18"/>
        </w:rPr>
        <w:t xml:space="preserve"> </w:t>
      </w:r>
      <w:r w:rsidR="00E53C5B">
        <w:rPr>
          <w:rFonts w:ascii="Palatino Linotype" w:hAnsi="Palatino Linotype"/>
          <w:b/>
          <w:bCs/>
          <w:color w:val="333333"/>
          <w:kern w:val="24"/>
          <w:sz w:val="18"/>
          <w:szCs w:val="18"/>
        </w:rPr>
        <w:t>Stage V;</w:t>
      </w:r>
      <w:r w:rsidR="002A7916" w:rsidRPr="002A7916">
        <w:rPr>
          <w:rFonts w:ascii="Palatino Linotype" w:hAnsi="Palatino Linotype"/>
          <w:b/>
          <w:bCs/>
          <w:color w:val="333333"/>
          <w:kern w:val="24"/>
          <w:sz w:val="18"/>
          <w:szCs w:val="18"/>
        </w:rPr>
        <w:t xml:space="preserve"> </w:t>
      </w:r>
      <w:r w:rsidR="002A7916" w:rsidRPr="002A7916">
        <w:rPr>
          <w:rFonts w:ascii="Palatino Linotype" w:hAnsi="Palatino Linotype"/>
          <w:color w:val="333333"/>
          <w:kern w:val="24"/>
          <w:sz w:val="18"/>
          <w:szCs w:val="18"/>
        </w:rPr>
        <w:t>blood vessels confined to zone</w:t>
      </w:r>
      <w:r w:rsidR="002A7916">
        <w:rPr>
          <w:rFonts w:ascii="Palatino Linotype" w:hAnsi="Palatino Linotype"/>
          <w:color w:val="333333"/>
          <w:kern w:val="24"/>
          <w:sz w:val="18"/>
          <w:szCs w:val="18"/>
        </w:rPr>
        <w:t xml:space="preserve"> I</w:t>
      </w:r>
      <w:r w:rsidR="002A7916" w:rsidRPr="002A7916">
        <w:rPr>
          <w:rFonts w:ascii="Palatino Linotype" w:hAnsi="Palatino Linotype"/>
          <w:color w:val="333333"/>
          <w:kern w:val="24"/>
          <w:sz w:val="18"/>
          <w:szCs w:val="18"/>
        </w:rPr>
        <w:t>, but forming incomplete vascular arcade</w:t>
      </w:r>
      <w:r w:rsidR="002A7916">
        <w:rPr>
          <w:rFonts w:ascii="Palatino Linotype" w:hAnsi="Palatino Linotype"/>
          <w:color w:val="333333"/>
          <w:kern w:val="24"/>
          <w:sz w:val="18"/>
          <w:szCs w:val="18"/>
        </w:rPr>
        <w:t>.</w:t>
      </w:r>
    </w:p>
    <w:sectPr w:rsidR="0091550B" w:rsidRPr="002A791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4B0DD" w14:textId="77777777" w:rsidR="005438C6" w:rsidRDefault="005438C6" w:rsidP="007A3CC0">
      <w:pPr>
        <w:spacing w:after="0" w:line="240" w:lineRule="auto"/>
      </w:pPr>
      <w:r>
        <w:separator/>
      </w:r>
    </w:p>
  </w:endnote>
  <w:endnote w:type="continuationSeparator" w:id="0">
    <w:p w14:paraId="5F7A15EC" w14:textId="77777777" w:rsidR="005438C6" w:rsidRDefault="005438C6" w:rsidP="007A3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80B4B5" w14:textId="77777777" w:rsidR="005438C6" w:rsidRDefault="005438C6" w:rsidP="007A3CC0">
      <w:pPr>
        <w:spacing w:after="0" w:line="240" w:lineRule="auto"/>
      </w:pPr>
      <w:r>
        <w:separator/>
      </w:r>
    </w:p>
  </w:footnote>
  <w:footnote w:type="continuationSeparator" w:id="0">
    <w:p w14:paraId="7FA1A11C" w14:textId="77777777" w:rsidR="005438C6" w:rsidRDefault="005438C6" w:rsidP="007A3C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DC0"/>
    <w:rsid w:val="002A7916"/>
    <w:rsid w:val="005438C6"/>
    <w:rsid w:val="006E0392"/>
    <w:rsid w:val="007A3CC0"/>
    <w:rsid w:val="008A63EF"/>
    <w:rsid w:val="0091550B"/>
    <w:rsid w:val="009E0471"/>
    <w:rsid w:val="00B71DC0"/>
    <w:rsid w:val="00D673A9"/>
    <w:rsid w:val="00DB665E"/>
    <w:rsid w:val="00E35FBF"/>
    <w:rsid w:val="00E53C5B"/>
    <w:rsid w:val="00E63317"/>
    <w:rsid w:val="00F65BB5"/>
    <w:rsid w:val="00FB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87C219"/>
  <w15:chartTrackingRefBased/>
  <w15:docId w15:val="{963664CF-C9B5-490D-98A0-B3B98070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71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A3C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3CC0"/>
  </w:style>
  <w:style w:type="paragraph" w:styleId="Footer">
    <w:name w:val="footer"/>
    <w:basedOn w:val="Normal"/>
    <w:link w:val="FooterChar"/>
    <w:uiPriority w:val="99"/>
    <w:unhideWhenUsed/>
    <w:rsid w:val="007A3C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3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2024-04-14T17:10:00Z</dcterms:created>
  <dcterms:modified xsi:type="dcterms:W3CDTF">2024-04-14T17:10:00Z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875c595ca20a9393b338d1e9ae27928a9f2622cb2a708d4209fb7162233c5d0f</vt:lpwstr>
  </property>
</Properties>
</file>